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2.0" w:type="dxa"/>
        <w:tblLayout w:type="fixed"/>
        <w:tblLook w:val="0000"/>
      </w:tblPr>
      <w:tblGrid>
        <w:gridCol w:w="2774"/>
        <w:gridCol w:w="6871"/>
        <w:tblGridChange w:id="0">
          <w:tblGrid>
            <w:gridCol w:w="2774"/>
            <w:gridCol w:w="6871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-26668</wp:posOffset>
                  </wp:positionH>
                  <wp:positionV relativeFrom="paragraph">
                    <wp:posOffset>77470</wp:posOffset>
                  </wp:positionV>
                  <wp:extent cx="1555115" cy="894715"/>
                  <wp:effectExtent b="0" l="0" r="0" t="0"/>
                  <wp:wrapTopAndBottom distB="0" dist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671" l="-491" r="-492" t="-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115" cy="8947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Secretaria de Educação Profissional e Tecnológica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Instituto Federal de Educação, Ciência e Tecnologia de Goiás Campus Inhumas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Departamento de Áreas Acadêmicas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ANEXO I - FORMULÁRIO PARA CADASTRO DE PROJETOS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1- Dados Gerais</w:t>
      </w:r>
      <w:r w:rsidDel="00000000" w:rsidR="00000000" w:rsidRPr="00000000">
        <w:rPr>
          <w:rtl w:val="0"/>
        </w:rPr>
      </w:r>
    </w:p>
    <w:tbl>
      <w:tblPr>
        <w:tblStyle w:val="Table2"/>
        <w:tblW w:w="958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350"/>
        <w:gridCol w:w="6239"/>
        <w:tblGridChange w:id="0">
          <w:tblGrid>
            <w:gridCol w:w="3350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Instituição/Câmpus: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Departamento: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Título: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Professor(a) Coordenador(a):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Colaborador(es):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Docentes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Discentes (bolsistas ou voluntários)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- Técnico-administrativos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Período de Realização: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Carga horária total: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Carga horária semanal: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Público-alvo (turmas):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Número de Vagas: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2- Ementa: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3- Introdução/Justificativa:</w:t>
      </w: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4- Objetivos :</w:t>
      </w: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3.1. Gerais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3.2. Específicos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5- Metodologia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6- Orçamento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6.1. Local onde será realizado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6.2. Recursos/Materiais Necessários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7- Avaliação (como os resultados obtidos serão verificados)</w:t>
      </w: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8- Cronograma de Execução</w:t>
      </w:r>
      <w:r w:rsidDel="00000000" w:rsidR="00000000" w:rsidRPr="00000000">
        <w:rPr>
          <w:rtl w:val="0"/>
        </w:rPr>
      </w:r>
    </w:p>
    <w:tbl>
      <w:tblPr>
        <w:tblStyle w:val="Table9"/>
        <w:tblW w:w="96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3"/>
        <w:gridCol w:w="634"/>
        <w:gridCol w:w="616"/>
        <w:gridCol w:w="684"/>
        <w:gridCol w:w="616"/>
        <w:gridCol w:w="634"/>
        <w:gridCol w:w="566"/>
        <w:gridCol w:w="667"/>
        <w:gridCol w:w="683"/>
        <w:tblGridChange w:id="0">
          <w:tblGrid>
            <w:gridCol w:w="4533"/>
            <w:gridCol w:w="634"/>
            <w:gridCol w:w="616"/>
            <w:gridCol w:w="684"/>
            <w:gridCol w:w="616"/>
            <w:gridCol w:w="634"/>
            <w:gridCol w:w="566"/>
            <w:gridCol w:w="667"/>
            <w:gridCol w:w="68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Etapa/Atividade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Período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9- Estratégias de Inscrição e Divulgação para os Estudantes</w:t>
      </w: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10- Referências Bibliográficas</w:t>
      </w: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Ind w:w="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Inhumas, ____ de ____________ de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7E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Coordenador(a) do Projeto</w:t>
      </w:r>
    </w:p>
    <w:sectPr>
      <w:footerReference r:id="rId8" w:type="default"/>
      <w:pgSz w:h="16838" w:w="11906" w:orient="portrait"/>
      <w:pgMar w:bottom="2038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Câmpus Inhumas do Instituto Federal de Goiás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rPr>
        <w:color w:val="000000"/>
        <w:sz w:val="18"/>
        <w:szCs w:val="18"/>
        <w:vertAlign w:val="baseline"/>
      </w:rPr>
    </w:pPr>
    <w:r w:rsidDel="00000000" w:rsidR="00000000" w:rsidRPr="00000000">
      <w:rPr>
        <w:color w:val="000000"/>
        <w:sz w:val="18"/>
        <w:szCs w:val="18"/>
        <w:vertAlign w:val="baseline"/>
        <w:rtl w:val="0"/>
      </w:rPr>
      <w:t xml:space="preserve">Av. Universitária, s/nº, Vale das Goiabeiras. CEP: 75.400- 000. Inhumas-GO</w:t>
    </w:r>
  </w:p>
  <w:p w:rsidR="00000000" w:rsidDel="00000000" w:rsidP="00000000" w:rsidRDefault="00000000" w:rsidRPr="00000000" w14:paraId="00000081">
    <w:pPr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Fone: (62) 3514-9500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i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table" w:styleId="0">
    <w:name w:val=""/>
    <w:basedOn w:val="TableNormal"/>
    <w:next w:val="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0"/>
      <w:tblStyleRowBandSize w:val="1"/>
      <w:tblStyleColBandSize w:val="1"/>
      <w:jc w:val="left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eNc5mwDYZl1R2oA+Gwc42J8/oA==">AMUW2mWeOGs55ylOy1vuuhR5mVuFIChoD2AMZnVvZM0tw+p56cYn4HFjcZrvukNGvzQy/J6jLG+aUadcMdvMFyevhNAyyGty8R7nOiUhz621qUghctqKBas=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2019-03-01T14:03:00Z</dcterms:created>
  <dc:creator>Guenther</dc:creator>
</cp:coreProperties>
</file>